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3B32D" w14:textId="67780EF4" w:rsidR="003D3D39" w:rsidRDefault="001728C2" w:rsidP="001728C2">
      <w:pPr>
        <w:jc w:val="center"/>
        <w:rPr>
          <w:b/>
          <w:sz w:val="22"/>
        </w:rPr>
      </w:pPr>
      <w:bookmarkStart w:id="0" w:name="_GoBack"/>
      <w:bookmarkEnd w:id="0"/>
      <w:r w:rsidRPr="007F42CA">
        <w:rPr>
          <w:b/>
          <w:sz w:val="22"/>
        </w:rPr>
        <w:t>Uwagi do projektu rozporządze</w:t>
      </w:r>
      <w:r w:rsidR="003D3D39">
        <w:rPr>
          <w:b/>
          <w:sz w:val="22"/>
        </w:rPr>
        <w:t xml:space="preserve">nia Ministra Rozwoju i Technologii </w:t>
      </w:r>
      <w:r w:rsidR="003D3D39" w:rsidRPr="003D3D39">
        <w:rPr>
          <w:b/>
          <w:sz w:val="22"/>
          <w:szCs w:val="20"/>
        </w:rPr>
        <w:t>w sprawie określenia wzoru formularza zawiadomienia o zakończeniu budowy oraz wniosku o pozwolenie na użytkowanie</w:t>
      </w:r>
      <w:r w:rsidR="00297812">
        <w:rPr>
          <w:b/>
          <w:sz w:val="22"/>
          <w:szCs w:val="20"/>
        </w:rPr>
        <w:t xml:space="preserve"> – konsultacje publiczne</w:t>
      </w:r>
    </w:p>
    <w:p w14:paraId="7E12B57E" w14:textId="77777777" w:rsidR="001728C2" w:rsidRDefault="001728C2" w:rsidP="001728C2">
      <w:pPr>
        <w:jc w:val="center"/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56"/>
        <w:gridCol w:w="1424"/>
        <w:gridCol w:w="1843"/>
        <w:gridCol w:w="6378"/>
        <w:gridCol w:w="4111"/>
      </w:tblGrid>
      <w:tr w:rsidR="00FB5A28" w:rsidRPr="000D3255" w14:paraId="11C45C9B" w14:textId="77777777" w:rsidTr="008057D7">
        <w:tc>
          <w:tcPr>
            <w:tcW w:w="556" w:type="dxa"/>
            <w:shd w:val="clear" w:color="auto" w:fill="8EAADB" w:themeFill="accent1" w:themeFillTint="99"/>
          </w:tcPr>
          <w:p w14:paraId="2EC9B0C4" w14:textId="77777777" w:rsidR="00FB5A28" w:rsidRPr="000D3255" w:rsidRDefault="00FB5A28" w:rsidP="00A5195E">
            <w:pPr>
              <w:jc w:val="center"/>
              <w:rPr>
                <w:b/>
                <w:sz w:val="18"/>
                <w:szCs w:val="20"/>
              </w:rPr>
            </w:pPr>
            <w:r w:rsidRPr="000D3255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424" w:type="dxa"/>
            <w:shd w:val="clear" w:color="auto" w:fill="8EAADB" w:themeFill="accent1" w:themeFillTint="99"/>
          </w:tcPr>
          <w:p w14:paraId="0A8F0AC6" w14:textId="77777777" w:rsidR="00FB5A28" w:rsidRPr="000D3255" w:rsidRDefault="00FB5A28" w:rsidP="00A5195E">
            <w:pPr>
              <w:jc w:val="center"/>
              <w:rPr>
                <w:b/>
                <w:sz w:val="18"/>
                <w:szCs w:val="20"/>
              </w:rPr>
            </w:pPr>
            <w:r w:rsidRPr="000D3255">
              <w:rPr>
                <w:b/>
                <w:sz w:val="18"/>
                <w:szCs w:val="20"/>
              </w:rPr>
              <w:t>Jednostka redakcyjna</w:t>
            </w:r>
          </w:p>
        </w:tc>
        <w:tc>
          <w:tcPr>
            <w:tcW w:w="1843" w:type="dxa"/>
            <w:shd w:val="clear" w:color="auto" w:fill="8EAADB" w:themeFill="accent1" w:themeFillTint="99"/>
          </w:tcPr>
          <w:p w14:paraId="2C9D10EB" w14:textId="77777777" w:rsidR="00FB5A28" w:rsidRPr="000D3255" w:rsidRDefault="00FB5A28" w:rsidP="007223F4">
            <w:pPr>
              <w:jc w:val="center"/>
              <w:rPr>
                <w:b/>
                <w:sz w:val="18"/>
                <w:szCs w:val="20"/>
              </w:rPr>
            </w:pPr>
            <w:r w:rsidRPr="000D3255">
              <w:rPr>
                <w:b/>
                <w:sz w:val="18"/>
                <w:szCs w:val="20"/>
              </w:rPr>
              <w:t>Organ/Podmiot</w:t>
            </w:r>
          </w:p>
        </w:tc>
        <w:tc>
          <w:tcPr>
            <w:tcW w:w="6378" w:type="dxa"/>
            <w:shd w:val="clear" w:color="auto" w:fill="8EAADB" w:themeFill="accent1" w:themeFillTint="99"/>
          </w:tcPr>
          <w:p w14:paraId="209EC9AF" w14:textId="77777777" w:rsidR="00FB5A28" w:rsidRPr="000D3255" w:rsidRDefault="00FB5A28" w:rsidP="00A5195E">
            <w:pPr>
              <w:jc w:val="center"/>
              <w:rPr>
                <w:b/>
                <w:sz w:val="18"/>
                <w:szCs w:val="20"/>
              </w:rPr>
            </w:pPr>
            <w:r w:rsidRPr="000D3255">
              <w:rPr>
                <w:b/>
                <w:sz w:val="18"/>
                <w:szCs w:val="20"/>
              </w:rPr>
              <w:t>Treść uwagi</w:t>
            </w:r>
          </w:p>
        </w:tc>
        <w:tc>
          <w:tcPr>
            <w:tcW w:w="4111" w:type="dxa"/>
            <w:shd w:val="clear" w:color="auto" w:fill="8EAADB" w:themeFill="accent1" w:themeFillTint="99"/>
          </w:tcPr>
          <w:p w14:paraId="06AC0EE7" w14:textId="77777777" w:rsidR="00FB5A28" w:rsidRPr="000D3255" w:rsidRDefault="00FB5A28" w:rsidP="00A5195E">
            <w:pPr>
              <w:jc w:val="center"/>
              <w:rPr>
                <w:b/>
                <w:sz w:val="18"/>
                <w:szCs w:val="20"/>
              </w:rPr>
            </w:pPr>
            <w:r w:rsidRPr="000D3255">
              <w:rPr>
                <w:b/>
                <w:sz w:val="18"/>
                <w:szCs w:val="20"/>
              </w:rPr>
              <w:t>Stanowisko GUNB</w:t>
            </w:r>
          </w:p>
        </w:tc>
      </w:tr>
      <w:tr w:rsidR="00B822A0" w:rsidRPr="004A6B70" w14:paraId="3D013F02" w14:textId="77777777" w:rsidTr="008057D7">
        <w:tc>
          <w:tcPr>
            <w:tcW w:w="556" w:type="dxa"/>
          </w:tcPr>
          <w:p w14:paraId="19508BDC" w14:textId="59C116B9" w:rsidR="00B822A0" w:rsidRPr="004A6B70" w:rsidRDefault="005A0BE2" w:rsidP="00B822A0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1424" w:type="dxa"/>
          </w:tcPr>
          <w:p w14:paraId="42122860" w14:textId="78D67C36" w:rsidR="00B822A0" w:rsidRPr="004A6B70" w:rsidRDefault="00B822A0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Uwaga ogólna</w:t>
            </w:r>
          </w:p>
        </w:tc>
        <w:tc>
          <w:tcPr>
            <w:tcW w:w="1843" w:type="dxa"/>
          </w:tcPr>
          <w:p w14:paraId="4DA3C038" w14:textId="31217DF3" w:rsidR="00B822A0" w:rsidRPr="006C1198" w:rsidRDefault="00B822A0" w:rsidP="006C1198">
            <w:pPr>
              <w:pStyle w:val="HTML-adres"/>
              <w:spacing w:before="120"/>
              <w:jc w:val="center"/>
              <w:rPr>
                <w:rFonts w:ascii="Arial" w:eastAsiaTheme="minorHAnsi" w:hAnsi="Arial" w:cs="Arial"/>
                <w:i w:val="0"/>
                <w:iCs w:val="0"/>
                <w:sz w:val="18"/>
                <w:szCs w:val="18"/>
              </w:rPr>
            </w:pPr>
            <w:r w:rsidRPr="004A6B70">
              <w:rPr>
                <w:rStyle w:val="Uwydatnienie"/>
                <w:rFonts w:ascii="Arial" w:eastAsiaTheme="minorHAnsi" w:hAnsi="Arial" w:cs="Arial"/>
                <w:sz w:val="18"/>
                <w:szCs w:val="18"/>
              </w:rPr>
              <w:t>Polski Związek Inżynierów i Techników Budownictwa</w:t>
            </w:r>
          </w:p>
        </w:tc>
        <w:tc>
          <w:tcPr>
            <w:tcW w:w="6378" w:type="dxa"/>
          </w:tcPr>
          <w:p w14:paraId="3126ECF3" w14:textId="77777777" w:rsidR="00B822A0" w:rsidRPr="004A6B70" w:rsidRDefault="00B822A0" w:rsidP="00B822A0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Podaję pod rozwagę wprowadzenie oznaczeń poszczególnych kolumn tabeli.</w:t>
            </w:r>
          </w:p>
          <w:p w14:paraId="57654134" w14:textId="60C8313E" w:rsidR="00B822A0" w:rsidRPr="004A6B70" w:rsidRDefault="00B822A0" w:rsidP="00B822A0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Z inżynierskiego punktu widzenia - mając oznaczone poszczególne wiersze i dodatkowo oznaczone liczbami czy literami kolumny łatwiej jest opracować, wskazać, podkreślić lub uzasadnić konkretną informację z tabeli np. dla zilustrowania problemu, dane z tabeli będą łatwiej odnajdywane i przyswajalne dla odbiorcy, który czyta tabelę.</w:t>
            </w:r>
          </w:p>
          <w:p w14:paraId="1E11F9EA" w14:textId="76DBBB4D" w:rsidR="00B822A0" w:rsidRPr="004A6B70" w:rsidRDefault="00B822A0" w:rsidP="00B822A0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 xml:space="preserve">Jest to stosowane w oprogramowaniu Excel, w którym z powodzeniem stosuje się oznaczenia liczbami lub literami wierszy i kolumn. W naszym przypadku dodatkowe oznaczenie poszczególnych kolumn oprócz podanych nazw na pewno nie zaszkodzi. </w:t>
            </w:r>
          </w:p>
        </w:tc>
        <w:tc>
          <w:tcPr>
            <w:tcW w:w="4111" w:type="dxa"/>
          </w:tcPr>
          <w:p w14:paraId="702D3C93" w14:textId="77777777" w:rsidR="00B822A0" w:rsidRDefault="00B822A0" w:rsidP="00B822A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A6B70">
              <w:rPr>
                <w:rFonts w:cs="Arial"/>
                <w:b/>
                <w:bCs/>
                <w:sz w:val="18"/>
                <w:szCs w:val="18"/>
              </w:rPr>
              <w:t>Uwaga nie</w:t>
            </w:r>
            <w:r w:rsidR="00491039">
              <w:rPr>
                <w:rFonts w:cs="Arial"/>
                <w:b/>
                <w:bCs/>
                <w:sz w:val="18"/>
                <w:szCs w:val="18"/>
              </w:rPr>
              <w:t>uwzględniona</w:t>
            </w:r>
            <w:r w:rsidR="00AD3EA0" w:rsidRPr="004A6B70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  <w:p w14:paraId="669AF459" w14:textId="77777777" w:rsidR="00491039" w:rsidRDefault="00491039" w:rsidP="00B822A0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32AD4A1E" w14:textId="22EE6847" w:rsidR="00491039" w:rsidRPr="00491039" w:rsidRDefault="00491039" w:rsidP="00B822A0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Wprowadzenie takiego rozwiązania byłoby niezgodne z </w:t>
            </w:r>
            <w:r w:rsidR="003F3C5F">
              <w:rPr>
                <w:rFonts w:cs="Arial"/>
                <w:bCs/>
                <w:sz w:val="18"/>
                <w:szCs w:val="18"/>
              </w:rPr>
              <w:t xml:space="preserve">innymi wzorami formularzy regulowanymi w rozporządzeniach wydanych na podstawie </w:t>
            </w:r>
            <w:r w:rsidR="003F3C5F" w:rsidRPr="003F3C5F">
              <w:rPr>
                <w:rFonts w:cs="Arial"/>
                <w:bCs/>
                <w:sz w:val="18"/>
                <w:szCs w:val="18"/>
              </w:rPr>
              <w:t>ustawy z dnia 7 lipca 1994 r. – Prawo budowlane</w:t>
            </w:r>
            <w:r w:rsidR="003F3C5F">
              <w:rPr>
                <w:rFonts w:cs="Arial"/>
                <w:bCs/>
                <w:sz w:val="18"/>
                <w:szCs w:val="18"/>
              </w:rPr>
              <w:t>.</w:t>
            </w:r>
          </w:p>
        </w:tc>
      </w:tr>
      <w:tr w:rsidR="00526C99" w:rsidRPr="004A6B70" w14:paraId="2B2772DE" w14:textId="77777777" w:rsidTr="008057D7">
        <w:tc>
          <w:tcPr>
            <w:tcW w:w="556" w:type="dxa"/>
          </w:tcPr>
          <w:p w14:paraId="7F830A97" w14:textId="724A7EEE" w:rsidR="00526C99" w:rsidRPr="004A6B70" w:rsidRDefault="005A0BE2" w:rsidP="00B822A0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1424" w:type="dxa"/>
          </w:tcPr>
          <w:p w14:paraId="613A3A11" w14:textId="1C851942" w:rsidR="00526C99" w:rsidRPr="004A6B70" w:rsidRDefault="00526C9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Uwaga ogólna</w:t>
            </w:r>
          </w:p>
        </w:tc>
        <w:tc>
          <w:tcPr>
            <w:tcW w:w="1843" w:type="dxa"/>
          </w:tcPr>
          <w:p w14:paraId="11D277B8" w14:textId="5617B83D" w:rsidR="00526C99" w:rsidRPr="004A6B70" w:rsidRDefault="00526C9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Polska Izba Inżynierów Budownictwa</w:t>
            </w:r>
          </w:p>
        </w:tc>
        <w:tc>
          <w:tcPr>
            <w:tcW w:w="6378" w:type="dxa"/>
          </w:tcPr>
          <w:p w14:paraId="524783A4" w14:textId="219FF2A9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W przytoczeniu przepisu ustawy zawierającego upoważnienie ustawowe brakuje adresu publikacyjnego ustawy zmieniającej ustawę – Prawo budowlane (Dz. U. z 2021 r. poz. 1986), która weszła w życie 3 stycznia 2022 r.</w:t>
            </w:r>
          </w:p>
        </w:tc>
        <w:tc>
          <w:tcPr>
            <w:tcW w:w="4111" w:type="dxa"/>
          </w:tcPr>
          <w:p w14:paraId="63A453EA" w14:textId="1AB4A331" w:rsidR="00526C99" w:rsidRPr="004A6B70" w:rsidRDefault="00526C99" w:rsidP="00B822A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A6B70">
              <w:rPr>
                <w:rFonts w:cs="Arial"/>
                <w:b/>
                <w:bCs/>
                <w:sz w:val="18"/>
                <w:szCs w:val="18"/>
              </w:rPr>
              <w:t>Uwaga nieuwzględniona</w:t>
            </w:r>
            <w:r w:rsidR="00AD3EA0" w:rsidRPr="004A6B70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  <w:p w14:paraId="1C921474" w14:textId="36FD15F5" w:rsidR="00526C99" w:rsidRPr="004A6B70" w:rsidRDefault="00526C99" w:rsidP="00B822A0">
            <w:pPr>
              <w:rPr>
                <w:rFonts w:cs="Arial"/>
                <w:bCs/>
                <w:sz w:val="18"/>
                <w:szCs w:val="18"/>
              </w:rPr>
            </w:pPr>
            <w:r w:rsidRPr="004A6B70">
              <w:rPr>
                <w:rFonts w:cs="Arial"/>
                <w:bCs/>
                <w:sz w:val="18"/>
                <w:szCs w:val="18"/>
              </w:rPr>
              <w:t>Wskazane zmiany zostały ogłoszone przed opublikowaniem aktualnego tekstu ustawy z dnia 7 lipca 1994 r. – Prawo budowlane i były uwzględniane przy tekście jednolitym z 2020 r. – Dz. U. z 2020</w:t>
            </w:r>
            <w:r w:rsidR="005A0BE2" w:rsidRPr="004A6B70">
              <w:rPr>
                <w:rFonts w:cs="Arial"/>
                <w:bCs/>
                <w:sz w:val="18"/>
                <w:szCs w:val="18"/>
              </w:rPr>
              <w:t> </w:t>
            </w:r>
            <w:r w:rsidRPr="004A6B70">
              <w:rPr>
                <w:rFonts w:cs="Arial"/>
                <w:bCs/>
                <w:sz w:val="18"/>
                <w:szCs w:val="18"/>
              </w:rPr>
              <w:t>r. poz. 1333.</w:t>
            </w:r>
          </w:p>
        </w:tc>
      </w:tr>
      <w:tr w:rsidR="00526C99" w:rsidRPr="004A6B70" w14:paraId="67220BA1" w14:textId="77777777" w:rsidTr="008057D7">
        <w:tc>
          <w:tcPr>
            <w:tcW w:w="556" w:type="dxa"/>
          </w:tcPr>
          <w:p w14:paraId="692A08BA" w14:textId="6EE14620" w:rsidR="00526C99" w:rsidRPr="004A6B70" w:rsidRDefault="005A0BE2" w:rsidP="00B822A0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1424" w:type="dxa"/>
          </w:tcPr>
          <w:p w14:paraId="0C9DA828" w14:textId="53D4BD10" w:rsidR="00526C99" w:rsidRPr="004A6B70" w:rsidRDefault="00526C9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§ 1</w:t>
            </w:r>
          </w:p>
        </w:tc>
        <w:tc>
          <w:tcPr>
            <w:tcW w:w="1843" w:type="dxa"/>
          </w:tcPr>
          <w:p w14:paraId="1748BF2E" w14:textId="055E1B60" w:rsidR="00526C99" w:rsidRPr="004A6B70" w:rsidRDefault="00526C9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Polska Izba Inżynierów Budownictwa</w:t>
            </w:r>
          </w:p>
        </w:tc>
        <w:tc>
          <w:tcPr>
            <w:tcW w:w="6378" w:type="dxa"/>
          </w:tcPr>
          <w:p w14:paraId="5CDB0779" w14:textId="296AEB8D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Są nowelizacje ustawy z dnia 17 lutego 2005 r. o informatyzacji działalności podmiotów realizujących zadania publiczne, które weszły w życie po opublikowaniu testu jednolitego: Dz. U. z 2021 r. poz. 1641, Dz. U. z 2019 r. poz. 2294.</w:t>
            </w:r>
          </w:p>
        </w:tc>
        <w:tc>
          <w:tcPr>
            <w:tcW w:w="4111" w:type="dxa"/>
          </w:tcPr>
          <w:p w14:paraId="4E45A58F" w14:textId="1EE549EC" w:rsidR="00526C99" w:rsidRPr="004A6B70" w:rsidRDefault="00526C99" w:rsidP="00B822A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A6B70">
              <w:rPr>
                <w:rFonts w:cs="Arial"/>
                <w:b/>
                <w:bCs/>
                <w:sz w:val="18"/>
                <w:szCs w:val="18"/>
              </w:rPr>
              <w:t>Uwaga nieuwzględniona</w:t>
            </w:r>
            <w:r w:rsidR="00AD3EA0" w:rsidRPr="004A6B70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  <w:p w14:paraId="59BA9CE6" w14:textId="2C496BFB" w:rsidR="00526C99" w:rsidRPr="004A6B70" w:rsidRDefault="00526C99" w:rsidP="00526C99">
            <w:pPr>
              <w:rPr>
                <w:rFonts w:cs="Arial"/>
                <w:bCs/>
                <w:sz w:val="18"/>
                <w:szCs w:val="18"/>
              </w:rPr>
            </w:pPr>
            <w:r w:rsidRPr="004A6B70">
              <w:rPr>
                <w:rFonts w:cs="Arial"/>
                <w:bCs/>
                <w:sz w:val="18"/>
                <w:szCs w:val="18"/>
              </w:rPr>
              <w:t xml:space="preserve">Wskazane zmiany zostały ogłoszone przed opublikowaniem aktualnego tekstu </w:t>
            </w:r>
            <w:r w:rsidRPr="004A6B70">
              <w:rPr>
                <w:rFonts w:cs="Arial"/>
                <w:color w:val="000000"/>
                <w:sz w:val="18"/>
                <w:szCs w:val="18"/>
              </w:rPr>
              <w:t>z dnia 17 lutego 2005 r. o informatyzacji działalności podmiotów realizujących zadania publiczne</w:t>
            </w:r>
            <w:r w:rsidRPr="004A6B70">
              <w:rPr>
                <w:rFonts w:cs="Arial"/>
                <w:bCs/>
                <w:sz w:val="18"/>
                <w:szCs w:val="18"/>
              </w:rPr>
              <w:t xml:space="preserve"> i były uwzględniane przy tekście jednolitym z 2020 r. – Dz. U. z 2019 r. poz. 700.</w:t>
            </w:r>
          </w:p>
        </w:tc>
      </w:tr>
      <w:tr w:rsidR="00526C99" w:rsidRPr="004A6B70" w14:paraId="2EBC1C31" w14:textId="77777777" w:rsidTr="008057D7">
        <w:tc>
          <w:tcPr>
            <w:tcW w:w="556" w:type="dxa"/>
          </w:tcPr>
          <w:p w14:paraId="24CB552F" w14:textId="7DE97616" w:rsidR="00526C99" w:rsidRPr="004A6B70" w:rsidRDefault="004743D9" w:rsidP="00B822A0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1424" w:type="dxa"/>
          </w:tcPr>
          <w:p w14:paraId="278FB55B" w14:textId="2D1C7E50" w:rsidR="00526C99" w:rsidRPr="004A6B70" w:rsidRDefault="00526C9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§ 2</w:t>
            </w:r>
          </w:p>
        </w:tc>
        <w:tc>
          <w:tcPr>
            <w:tcW w:w="1843" w:type="dxa"/>
          </w:tcPr>
          <w:p w14:paraId="4F2D3043" w14:textId="512F6689" w:rsidR="00526C99" w:rsidRPr="004A6B70" w:rsidRDefault="00526C9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Polska Izba Inżynierów Budownictwa</w:t>
            </w:r>
          </w:p>
        </w:tc>
        <w:tc>
          <w:tcPr>
            <w:tcW w:w="6378" w:type="dxa"/>
          </w:tcPr>
          <w:p w14:paraId="2AAAA4DB" w14:textId="77777777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Upoważnienie zawarte w ustawie (art. 57 ust. 3b) określa zakres spraw przekazanych do uregulowania w drodze rozporządzenia. Wydaje się, że kwestie zawiadomień i wniosków oraz wszelkie konsekwencje prawne, jakie się z nimi wiążą, wykraczają poza zakres upoważnienia (rozporządzenie ma określać jedynie wzór formularza, a nie wszystkie kwestie związane z zawiadomieniem o zakończeniu budowy lub wnioskiem o pozwolenie na użytkowanie).</w:t>
            </w:r>
          </w:p>
          <w:p w14:paraId="6F8335A8" w14:textId="77777777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lastRenderedPageBreak/>
              <w:t>Należy zauważyć, że ustawa z dnia 17 września 2021 r. o zmianie ustawy – Prawo budowlane oraz ustawy o planowaniu i zagospodarowaniu przestrzennym (Dz. U. z 2021 r. poz. 1986) reguluje kwestie intertemporalne związane z wejściem w życie nowych przepisów prawa budowlanego.</w:t>
            </w:r>
          </w:p>
          <w:p w14:paraId="17AE658B" w14:textId="77777777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Zgodnie z art. 3 ust. 1 ustawy z dnia 17 września 2021 r. o zmianie ustawy – Prawo budowlane oraz ustawy o planowaniu i zagospodarowaniu przestrzennym do budowy budynku spełniającego kryteria, o których mowa w art. 29 ust. 1 pkt 1a albo 16 ustawy zmienianej w art. 1, w przypadku której przed dniem wejścia w życie niniejszej ustawy wydano decyzję o pozwoleniu na budowę albo dokonano zgłoszenia, stosuje się przepisy dotychczasowe.</w:t>
            </w:r>
          </w:p>
          <w:p w14:paraId="187A548C" w14:textId="77777777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Z powyższego wynika, że do złożenia zawiadomienia o zakończeniu innej budowy niż wyżej wymieniona albo do wniosku o pozwolenie na użytkowanie innego obiektu – stosuje się nowe przepisy (zdarzenia te następują przed zakończeniem budowy, jednak przepisy dotychczasowe stosuje się wyłącznie do budowy wyszczególnionych w przepisach przejściowych obiektów budowlanych). Ponadto do dnia wydania nowego rozporządzenia stosuje się dotychczasowe przepisy wykonawcze określające wzory formularzy.</w:t>
            </w:r>
          </w:p>
          <w:p w14:paraId="280A4A8A" w14:textId="77777777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Proponujemy następujące brzmienie:</w:t>
            </w:r>
          </w:p>
          <w:p w14:paraId="13A149C4" w14:textId="0E0F9CB4" w:rsidR="00526C99" w:rsidRPr="004A6B70" w:rsidRDefault="00526C99" w:rsidP="00526C99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"§ 2. Zawiadomienia o zakończeniu budowy oraz wnioski o pozwolenie na użytkowanie, złożone przed dniem wejścia w życie rozporządzenia na formularzach według wzoru określonego w przepisach dotychczasowych, pozostają skuteczne."</w:t>
            </w:r>
            <w:r w:rsidR="005A0BE2" w:rsidRPr="004A6B7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11" w:type="dxa"/>
          </w:tcPr>
          <w:p w14:paraId="706D6707" w14:textId="46632088" w:rsidR="00526C99" w:rsidRPr="004A6B70" w:rsidRDefault="005A0BE2" w:rsidP="00B822A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A6B70">
              <w:rPr>
                <w:rFonts w:cs="Arial"/>
                <w:b/>
                <w:bCs/>
                <w:sz w:val="18"/>
                <w:szCs w:val="18"/>
              </w:rPr>
              <w:lastRenderedPageBreak/>
              <w:t>Uwaga nieuwzględniona</w:t>
            </w:r>
            <w:r w:rsidR="00AD3EA0" w:rsidRPr="004A6B70">
              <w:rPr>
                <w:rFonts w:cs="Arial"/>
                <w:b/>
                <w:bCs/>
                <w:sz w:val="18"/>
                <w:szCs w:val="18"/>
              </w:rPr>
              <w:t>.</w:t>
            </w:r>
          </w:p>
          <w:p w14:paraId="19485D19" w14:textId="77777777" w:rsidR="005A0BE2" w:rsidRPr="004A6B70" w:rsidRDefault="005A0BE2" w:rsidP="00B822A0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 xml:space="preserve">Projektowany przepis ma na celu uregulowanie sytuacji, w której przed wejściem w życie projektowanego rozporządzenia inwestor dokonał zawiadomienia o zakończeniu budowy lub złożył wniosek o pozwolenie na użytkowanie. Przepis przejściowy ma na celu usprawnienie </w:t>
            </w:r>
            <w:r w:rsidRPr="004A6B70">
              <w:rPr>
                <w:rFonts w:cs="Arial"/>
                <w:sz w:val="18"/>
                <w:szCs w:val="18"/>
              </w:rPr>
              <w:lastRenderedPageBreak/>
              <w:t>procedury oddawania obiektów budowlanych do użytkowania oraz wyeliminowanie sytuacji, w której organ nadzoru budowlanego wezwie inwestora do aktualizacji zawiadomienia o zakończeniu budowy lub wniosku o pozwolenie na użytkowanie.</w:t>
            </w:r>
          </w:p>
          <w:p w14:paraId="2D97AC5C" w14:textId="01AA6FCA" w:rsidR="00882443" w:rsidRPr="004A6B70" w:rsidRDefault="00882443" w:rsidP="00882443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Wskazać ponadto trzeba, że stosowanie sformułowania „przepisy dotychczasowe” jest zgodne z rozporządzeniem Prezesa Rady Ministrów z dnia 20 czerwca 2002 r. w sprawie „Zasad techniki prawodawczej” (Dz. U. z 2016 poz. 283).</w:t>
            </w:r>
          </w:p>
        </w:tc>
      </w:tr>
      <w:tr w:rsidR="00B822A0" w:rsidRPr="004A6B70" w14:paraId="63D21E1E" w14:textId="77777777" w:rsidTr="008057D7">
        <w:tc>
          <w:tcPr>
            <w:tcW w:w="556" w:type="dxa"/>
          </w:tcPr>
          <w:p w14:paraId="3E3E36FB" w14:textId="1ECD453D" w:rsidR="00B822A0" w:rsidRPr="004A6B70" w:rsidRDefault="004743D9" w:rsidP="00B822A0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1424" w:type="dxa"/>
          </w:tcPr>
          <w:p w14:paraId="73D01ADD" w14:textId="786CC24A" w:rsidR="00B822A0" w:rsidRPr="004A6B70" w:rsidRDefault="00B822A0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Załączniki</w:t>
            </w:r>
          </w:p>
        </w:tc>
        <w:tc>
          <w:tcPr>
            <w:tcW w:w="1843" w:type="dxa"/>
          </w:tcPr>
          <w:p w14:paraId="11A38EC4" w14:textId="0F9B26C1" w:rsidR="00B822A0" w:rsidRPr="004A6B70" w:rsidRDefault="00B822A0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Porozumienie Zielonogórskie</w:t>
            </w:r>
          </w:p>
        </w:tc>
        <w:tc>
          <w:tcPr>
            <w:tcW w:w="6378" w:type="dxa"/>
          </w:tcPr>
          <w:p w14:paraId="40AA81E1" w14:textId="5E0C3538" w:rsidR="00B822A0" w:rsidRPr="004A6B70" w:rsidRDefault="00B822A0" w:rsidP="00B822A0">
            <w:pPr>
              <w:rPr>
                <w:rFonts w:cs="Arial"/>
                <w:color w:val="000000"/>
                <w:sz w:val="18"/>
                <w:szCs w:val="18"/>
              </w:rPr>
            </w:pPr>
            <w:r w:rsidRPr="004A6B70">
              <w:rPr>
                <w:rFonts w:cs="Arial"/>
                <w:color w:val="000000"/>
                <w:sz w:val="18"/>
                <w:szCs w:val="18"/>
              </w:rPr>
              <w:t>W załącznikach we wzorach dokumentów należy usunąć pola Poczta z adresów. Podawanie w danych adresowych tej informacji jest zbędne, gdyż nie istnieją adresy różniące się tylko tym polem (Poczta). A jako informacja nic nie wnosząca jest zbędna i pozostawiana dotąd tylko jako relikt przeszłości.</w:t>
            </w:r>
          </w:p>
        </w:tc>
        <w:tc>
          <w:tcPr>
            <w:tcW w:w="4111" w:type="dxa"/>
          </w:tcPr>
          <w:p w14:paraId="5BFFF8DC" w14:textId="77777777" w:rsidR="00B822A0" w:rsidRPr="004A6B70" w:rsidRDefault="00B822A0" w:rsidP="00B822A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A6B70">
              <w:rPr>
                <w:rFonts w:cs="Arial"/>
                <w:b/>
                <w:bCs/>
                <w:sz w:val="18"/>
                <w:szCs w:val="18"/>
              </w:rPr>
              <w:t>Uwaga nieuwzględniona.</w:t>
            </w:r>
          </w:p>
          <w:p w14:paraId="5D5B890D" w14:textId="77777777" w:rsidR="00B822A0" w:rsidRPr="004A6B70" w:rsidRDefault="00B822A0" w:rsidP="00B822A0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Dane te są potrzebne dla właściwej obsługi wniosków, zwłaszcza pod kątem portalu e-Budownictwo (e-budownictwo.gunb.gov.pl) umożliwiającej składanie wniosków przez Internet.</w:t>
            </w:r>
          </w:p>
          <w:p w14:paraId="7A7B35F6" w14:textId="0343223D" w:rsidR="004743D9" w:rsidRPr="004A6B70" w:rsidRDefault="004743D9" w:rsidP="00B822A0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bCs/>
                <w:sz w:val="18"/>
                <w:szCs w:val="18"/>
              </w:rPr>
              <w:t>Wskazać również trzeba, że pole „Poczta” występuje we wszystkich obowiązujących obecnie wzorach wniosków, formularzy i zawiadomień określonych na podstawie przepisów ustawy z dnia 7 lipca 1994 r. – Prawo budowlane. Uwzględnienie uwagi spowodowałoby jedynie zamieszanie i zamęt w obowiązujących formularzach.</w:t>
            </w:r>
          </w:p>
        </w:tc>
      </w:tr>
      <w:tr w:rsidR="00B822A0" w:rsidRPr="004A6B70" w14:paraId="32E2F3A5" w14:textId="77777777" w:rsidTr="008057D7">
        <w:tc>
          <w:tcPr>
            <w:tcW w:w="556" w:type="dxa"/>
          </w:tcPr>
          <w:p w14:paraId="20DD3496" w14:textId="3059AD54" w:rsidR="00B822A0" w:rsidRPr="004A6B70" w:rsidRDefault="006C558A" w:rsidP="006C558A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1424" w:type="dxa"/>
          </w:tcPr>
          <w:p w14:paraId="61372F90" w14:textId="0AAA933B" w:rsidR="00B822A0" w:rsidRPr="004A6B70" w:rsidRDefault="00426AC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Załączniki – uwaga ogólna</w:t>
            </w:r>
          </w:p>
        </w:tc>
        <w:tc>
          <w:tcPr>
            <w:tcW w:w="1843" w:type="dxa"/>
          </w:tcPr>
          <w:p w14:paraId="39032368" w14:textId="5649A6EE" w:rsidR="00B822A0" w:rsidRPr="004A6B70" w:rsidRDefault="00526C99" w:rsidP="00526C9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Polska Izba Inżynierów Budownictwa</w:t>
            </w:r>
          </w:p>
        </w:tc>
        <w:tc>
          <w:tcPr>
            <w:tcW w:w="6378" w:type="dxa"/>
          </w:tcPr>
          <w:p w14:paraId="48721589" w14:textId="12F6F7F2" w:rsidR="00B822A0" w:rsidRPr="004A6B70" w:rsidRDefault="00526C99" w:rsidP="009A724B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 xml:space="preserve">Pojęciem „adres skrzynki </w:t>
            </w:r>
            <w:proofErr w:type="spellStart"/>
            <w:r w:rsidRPr="004A6B70">
              <w:rPr>
                <w:rFonts w:cs="Arial"/>
                <w:sz w:val="18"/>
                <w:szCs w:val="18"/>
              </w:rPr>
              <w:t>ePUAP</w:t>
            </w:r>
            <w:proofErr w:type="spellEnd"/>
            <w:r w:rsidRPr="004A6B70">
              <w:rPr>
                <w:rFonts w:cs="Arial"/>
                <w:sz w:val="18"/>
                <w:szCs w:val="18"/>
              </w:rPr>
              <w:t>”</w:t>
            </w:r>
            <w:r w:rsidR="00426AC9" w:rsidRPr="004A6B70">
              <w:rPr>
                <w:rFonts w:cs="Arial"/>
                <w:sz w:val="18"/>
                <w:szCs w:val="18"/>
              </w:rPr>
              <w:t xml:space="preserve"> nie posługuje się ani ustawa – Prawo budowlane, ani Kodeks postępowania administracyjnego (w art. 39(1) K.p.a. – ustawodawca posługuje się m.in. terminem „adres do doręczeń elektronicznych wpisany do bazy adresów elektronicznych”).</w:t>
            </w:r>
          </w:p>
        </w:tc>
        <w:tc>
          <w:tcPr>
            <w:tcW w:w="4111" w:type="dxa"/>
          </w:tcPr>
          <w:p w14:paraId="21ACAD60" w14:textId="77777777" w:rsidR="00526C99" w:rsidRPr="004A6B70" w:rsidRDefault="00526C99" w:rsidP="005B4F9F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4A6B70">
              <w:rPr>
                <w:rFonts w:cs="Arial"/>
                <w:b/>
                <w:sz w:val="18"/>
                <w:szCs w:val="18"/>
              </w:rPr>
              <w:t>Uwaga nieuwzględnion</w:t>
            </w:r>
            <w:r w:rsidR="00AD3EA0" w:rsidRPr="004A6B70">
              <w:rPr>
                <w:rFonts w:cs="Arial"/>
                <w:b/>
                <w:sz w:val="18"/>
                <w:szCs w:val="18"/>
              </w:rPr>
              <w:t>a.</w:t>
            </w:r>
          </w:p>
          <w:p w14:paraId="5BB110EB" w14:textId="05FBD5F3" w:rsidR="005B4F9F" w:rsidRPr="004A6B70" w:rsidRDefault="00D7675B" w:rsidP="005B4F9F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</w:t>
            </w:r>
            <w:r w:rsidR="008057D7" w:rsidRPr="004A6B70">
              <w:rPr>
                <w:rFonts w:cs="Arial"/>
                <w:bCs/>
                <w:sz w:val="18"/>
                <w:szCs w:val="18"/>
              </w:rPr>
              <w:t xml:space="preserve">formułowaniem „adres skrzynki </w:t>
            </w:r>
            <w:proofErr w:type="spellStart"/>
            <w:r w:rsidR="008057D7" w:rsidRPr="004A6B70">
              <w:rPr>
                <w:rFonts w:cs="Arial"/>
                <w:bCs/>
                <w:sz w:val="18"/>
                <w:szCs w:val="18"/>
              </w:rPr>
              <w:t>ePUAP</w:t>
            </w:r>
            <w:proofErr w:type="spellEnd"/>
            <w:r w:rsidR="008057D7" w:rsidRPr="004A6B70">
              <w:rPr>
                <w:rFonts w:cs="Arial"/>
                <w:bCs/>
                <w:sz w:val="18"/>
                <w:szCs w:val="18"/>
              </w:rPr>
              <w:t>” posługują się wszystkie obowiązujące obecnie wzory wniosków</w:t>
            </w:r>
            <w:r w:rsidR="004743D9" w:rsidRPr="004A6B70">
              <w:rPr>
                <w:rFonts w:cs="Arial"/>
                <w:bCs/>
                <w:sz w:val="18"/>
                <w:szCs w:val="18"/>
              </w:rPr>
              <w:t>,</w:t>
            </w:r>
            <w:r w:rsidR="008057D7" w:rsidRPr="004A6B70">
              <w:rPr>
                <w:rFonts w:cs="Arial"/>
                <w:bCs/>
                <w:sz w:val="18"/>
                <w:szCs w:val="18"/>
              </w:rPr>
              <w:t xml:space="preserve"> formularzy i zawiadomień określone na podstawie przepisów ustawy z dnia 7 lipca 1994 r. – Prawo budowlane. Uwzględnienie uwagi PIIB spowodowałoby jedynie zamieszanie i zamęt w obowiązujących formularzach.</w:t>
            </w:r>
          </w:p>
        </w:tc>
      </w:tr>
      <w:tr w:rsidR="00B822A0" w:rsidRPr="004A6B70" w14:paraId="49F58C84" w14:textId="77777777" w:rsidTr="008057D7">
        <w:tc>
          <w:tcPr>
            <w:tcW w:w="556" w:type="dxa"/>
          </w:tcPr>
          <w:p w14:paraId="47A9C67A" w14:textId="74A4A18F" w:rsidR="00B822A0" w:rsidRPr="004A6B70" w:rsidRDefault="006C558A" w:rsidP="006C558A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7.</w:t>
            </w:r>
          </w:p>
        </w:tc>
        <w:tc>
          <w:tcPr>
            <w:tcW w:w="1424" w:type="dxa"/>
          </w:tcPr>
          <w:p w14:paraId="572FFF60" w14:textId="0800CFB8" w:rsidR="00B822A0" w:rsidRPr="004A6B70" w:rsidRDefault="00426AC9" w:rsidP="00426AC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Załącznik nr 9 pkt 9 kwadrat 12</w:t>
            </w:r>
          </w:p>
        </w:tc>
        <w:tc>
          <w:tcPr>
            <w:tcW w:w="1843" w:type="dxa"/>
          </w:tcPr>
          <w:p w14:paraId="6764E389" w14:textId="7699607F" w:rsidR="00B822A0" w:rsidRPr="004A6B70" w:rsidRDefault="00526C99" w:rsidP="00526C99">
            <w:pPr>
              <w:spacing w:after="240"/>
              <w:jc w:val="center"/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Polska Izba Inżynierów Budownictwa</w:t>
            </w:r>
          </w:p>
        </w:tc>
        <w:tc>
          <w:tcPr>
            <w:tcW w:w="6378" w:type="dxa"/>
          </w:tcPr>
          <w:p w14:paraId="2479DA8F" w14:textId="59CC3C4A" w:rsidR="00B822A0" w:rsidRPr="004A6B70" w:rsidRDefault="00426AC9" w:rsidP="009A724B">
            <w:pPr>
              <w:rPr>
                <w:rFonts w:cs="Arial"/>
                <w:sz w:val="18"/>
                <w:szCs w:val="18"/>
              </w:rPr>
            </w:pPr>
            <w:r w:rsidRPr="004A6B70">
              <w:rPr>
                <w:rFonts w:cs="Arial"/>
                <w:sz w:val="18"/>
                <w:szCs w:val="18"/>
              </w:rPr>
              <w:t>Brakuje drugiego nawiasu zamykającego (w analogicznych punktach w załącznikach nr 1-3 mamy podwójny nawias zamykający). Ewentualnie można we wszystkich formularzach zrezygnować z podwójnych nawiasów ograniczając się do objęcia nawiasem wyłącznie do adresu publikacyjnego.</w:t>
            </w:r>
          </w:p>
        </w:tc>
        <w:tc>
          <w:tcPr>
            <w:tcW w:w="4111" w:type="dxa"/>
          </w:tcPr>
          <w:p w14:paraId="71C266FB" w14:textId="41A0874A" w:rsidR="00B822A0" w:rsidRPr="004A6B70" w:rsidRDefault="00526C99" w:rsidP="00B822A0">
            <w:pPr>
              <w:spacing w:after="240"/>
              <w:jc w:val="left"/>
              <w:rPr>
                <w:rFonts w:cs="Arial"/>
                <w:b/>
                <w:sz w:val="18"/>
                <w:szCs w:val="18"/>
              </w:rPr>
            </w:pPr>
            <w:r w:rsidRPr="004A6B70">
              <w:rPr>
                <w:rFonts w:cs="Arial"/>
                <w:b/>
                <w:sz w:val="18"/>
                <w:szCs w:val="18"/>
              </w:rPr>
              <w:t xml:space="preserve">Uwaga </w:t>
            </w:r>
            <w:r w:rsidR="002503F5" w:rsidRPr="004A6B70">
              <w:rPr>
                <w:rFonts w:cs="Arial"/>
                <w:b/>
                <w:sz w:val="18"/>
                <w:szCs w:val="18"/>
              </w:rPr>
              <w:t>uwzględniona</w:t>
            </w:r>
            <w:r w:rsidR="00AD3EA0" w:rsidRPr="004A6B70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</w:tbl>
    <w:p w14:paraId="11FD968C" w14:textId="77777777" w:rsidR="00B363EE" w:rsidRPr="004A6B70" w:rsidRDefault="00B363EE" w:rsidP="00A67170">
      <w:pPr>
        <w:rPr>
          <w:rFonts w:cs="Arial"/>
          <w:sz w:val="18"/>
          <w:szCs w:val="18"/>
        </w:rPr>
      </w:pPr>
    </w:p>
    <w:sectPr w:rsidR="00B363EE" w:rsidRPr="004A6B70" w:rsidSect="005760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79D0"/>
    <w:multiLevelType w:val="multilevel"/>
    <w:tmpl w:val="4F7A6790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>
    <w:nsid w:val="14FD6158"/>
    <w:multiLevelType w:val="multilevel"/>
    <w:tmpl w:val="E6A26C54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>
    <w:nsid w:val="3A562EB5"/>
    <w:multiLevelType w:val="hybridMultilevel"/>
    <w:tmpl w:val="98BCF9D4"/>
    <w:lvl w:ilvl="0" w:tplc="69F69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55BBB"/>
    <w:multiLevelType w:val="multilevel"/>
    <w:tmpl w:val="9B22E3C2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5771F8"/>
    <w:multiLevelType w:val="hybridMultilevel"/>
    <w:tmpl w:val="286654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5E"/>
    <w:rsid w:val="000000B1"/>
    <w:rsid w:val="000119CD"/>
    <w:rsid w:val="000256D1"/>
    <w:rsid w:val="00070257"/>
    <w:rsid w:val="000831B8"/>
    <w:rsid w:val="000863C1"/>
    <w:rsid w:val="000B5D3B"/>
    <w:rsid w:val="000D1068"/>
    <w:rsid w:val="000D3255"/>
    <w:rsid w:val="000F271B"/>
    <w:rsid w:val="0012084B"/>
    <w:rsid w:val="00127DC0"/>
    <w:rsid w:val="00145DE8"/>
    <w:rsid w:val="00170926"/>
    <w:rsid w:val="001728C2"/>
    <w:rsid w:val="001E2AE9"/>
    <w:rsid w:val="001E6782"/>
    <w:rsid w:val="00205E47"/>
    <w:rsid w:val="002243F2"/>
    <w:rsid w:val="0025007F"/>
    <w:rsid w:val="002503F5"/>
    <w:rsid w:val="00273D3B"/>
    <w:rsid w:val="00297812"/>
    <w:rsid w:val="002D33F6"/>
    <w:rsid w:val="002D77AF"/>
    <w:rsid w:val="002E589F"/>
    <w:rsid w:val="002E7614"/>
    <w:rsid w:val="00306F23"/>
    <w:rsid w:val="00321848"/>
    <w:rsid w:val="00323B3F"/>
    <w:rsid w:val="00355985"/>
    <w:rsid w:val="00360690"/>
    <w:rsid w:val="00365B38"/>
    <w:rsid w:val="00373532"/>
    <w:rsid w:val="00374453"/>
    <w:rsid w:val="003D3D39"/>
    <w:rsid w:val="003F3C5F"/>
    <w:rsid w:val="00414E36"/>
    <w:rsid w:val="004157CD"/>
    <w:rsid w:val="00426AC9"/>
    <w:rsid w:val="004743D9"/>
    <w:rsid w:val="00475023"/>
    <w:rsid w:val="00491039"/>
    <w:rsid w:val="0049363F"/>
    <w:rsid w:val="00495C48"/>
    <w:rsid w:val="004A0227"/>
    <w:rsid w:val="004A3B22"/>
    <w:rsid w:val="004A6B70"/>
    <w:rsid w:val="004B2BB6"/>
    <w:rsid w:val="004C60D8"/>
    <w:rsid w:val="00510514"/>
    <w:rsid w:val="00526C99"/>
    <w:rsid w:val="00557317"/>
    <w:rsid w:val="0057606A"/>
    <w:rsid w:val="005A0BE2"/>
    <w:rsid w:val="005A1BAF"/>
    <w:rsid w:val="005B4F9F"/>
    <w:rsid w:val="005F526E"/>
    <w:rsid w:val="00627801"/>
    <w:rsid w:val="00652A97"/>
    <w:rsid w:val="00657516"/>
    <w:rsid w:val="00661EB3"/>
    <w:rsid w:val="0066346E"/>
    <w:rsid w:val="00672245"/>
    <w:rsid w:val="00696F71"/>
    <w:rsid w:val="006C1198"/>
    <w:rsid w:val="006C558A"/>
    <w:rsid w:val="006E5AF8"/>
    <w:rsid w:val="00710798"/>
    <w:rsid w:val="007223F4"/>
    <w:rsid w:val="007224FA"/>
    <w:rsid w:val="00760CBF"/>
    <w:rsid w:val="00787146"/>
    <w:rsid w:val="0079624B"/>
    <w:rsid w:val="007C2DE0"/>
    <w:rsid w:val="007F42CA"/>
    <w:rsid w:val="008057D7"/>
    <w:rsid w:val="00823C7A"/>
    <w:rsid w:val="00853A3C"/>
    <w:rsid w:val="008657BF"/>
    <w:rsid w:val="00873580"/>
    <w:rsid w:val="00882443"/>
    <w:rsid w:val="008B188A"/>
    <w:rsid w:val="008E36C0"/>
    <w:rsid w:val="009351FD"/>
    <w:rsid w:val="009363CC"/>
    <w:rsid w:val="00942060"/>
    <w:rsid w:val="009604E7"/>
    <w:rsid w:val="009904A7"/>
    <w:rsid w:val="00992573"/>
    <w:rsid w:val="009A724B"/>
    <w:rsid w:val="009B025B"/>
    <w:rsid w:val="009C34C0"/>
    <w:rsid w:val="009C67D8"/>
    <w:rsid w:val="00A06F44"/>
    <w:rsid w:val="00A456B3"/>
    <w:rsid w:val="00A4615F"/>
    <w:rsid w:val="00A5195E"/>
    <w:rsid w:val="00A57109"/>
    <w:rsid w:val="00A67170"/>
    <w:rsid w:val="00A97924"/>
    <w:rsid w:val="00AA0E7B"/>
    <w:rsid w:val="00AD3EA0"/>
    <w:rsid w:val="00AD5D79"/>
    <w:rsid w:val="00AE21A7"/>
    <w:rsid w:val="00B02F24"/>
    <w:rsid w:val="00B11448"/>
    <w:rsid w:val="00B13650"/>
    <w:rsid w:val="00B363EE"/>
    <w:rsid w:val="00B50A61"/>
    <w:rsid w:val="00B50F8F"/>
    <w:rsid w:val="00B7090E"/>
    <w:rsid w:val="00B822A0"/>
    <w:rsid w:val="00B92C84"/>
    <w:rsid w:val="00BC0195"/>
    <w:rsid w:val="00CD378B"/>
    <w:rsid w:val="00CE238E"/>
    <w:rsid w:val="00D02976"/>
    <w:rsid w:val="00D05A9F"/>
    <w:rsid w:val="00D14577"/>
    <w:rsid w:val="00D2408B"/>
    <w:rsid w:val="00D66148"/>
    <w:rsid w:val="00D7675B"/>
    <w:rsid w:val="00DB1604"/>
    <w:rsid w:val="00DB77E2"/>
    <w:rsid w:val="00DB7B7F"/>
    <w:rsid w:val="00DC12FF"/>
    <w:rsid w:val="00DD6F2A"/>
    <w:rsid w:val="00E04585"/>
    <w:rsid w:val="00E13256"/>
    <w:rsid w:val="00E14EF5"/>
    <w:rsid w:val="00E17F5E"/>
    <w:rsid w:val="00E268AD"/>
    <w:rsid w:val="00E31D5E"/>
    <w:rsid w:val="00E35133"/>
    <w:rsid w:val="00E960B5"/>
    <w:rsid w:val="00EB09E2"/>
    <w:rsid w:val="00EB45BE"/>
    <w:rsid w:val="00EB5E69"/>
    <w:rsid w:val="00ED0005"/>
    <w:rsid w:val="00EF6FAE"/>
    <w:rsid w:val="00F0090C"/>
    <w:rsid w:val="00F04A92"/>
    <w:rsid w:val="00F95D92"/>
    <w:rsid w:val="00FA65AA"/>
    <w:rsid w:val="00FB1B1C"/>
    <w:rsid w:val="00FB49B0"/>
    <w:rsid w:val="00FB4B20"/>
    <w:rsid w:val="00FB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400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148"/>
    <w:pPr>
      <w:spacing w:before="120" w:after="0" w:line="240" w:lineRule="auto"/>
      <w:jc w:val="both"/>
    </w:pPr>
    <w:rPr>
      <w:rFonts w:ascii="Arial" w:hAnsi="Arial"/>
      <w:sz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D05A9F"/>
    <w:pPr>
      <w:numPr>
        <w:numId w:val="2"/>
      </w:numPr>
      <w:ind w:left="284" w:hanging="284"/>
      <w:outlineLvl w:val="2"/>
    </w:pPr>
    <w:rPr>
      <w:rFonts w:eastAsia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05A9F"/>
    <w:rPr>
      <w:rFonts w:ascii="Arial" w:eastAsia="Times New Roman" w:hAnsi="Arial" w:cs="Times New Roman"/>
      <w:b/>
      <w:bCs/>
      <w:sz w:val="24"/>
      <w:szCs w:val="27"/>
      <w:lang w:eastAsia="pl-PL"/>
    </w:rPr>
  </w:style>
  <w:style w:type="numbering" w:customStyle="1" w:styleId="Styl1">
    <w:name w:val="Styl1"/>
    <w:uiPriority w:val="99"/>
    <w:rsid w:val="004A0227"/>
    <w:pPr>
      <w:numPr>
        <w:numId w:val="3"/>
      </w:numPr>
    </w:pPr>
  </w:style>
  <w:style w:type="table" w:styleId="Tabela-Siatka">
    <w:name w:val="Table Grid"/>
    <w:basedOn w:val="Standardowy"/>
    <w:uiPriority w:val="39"/>
    <w:rsid w:val="00A5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4EF5"/>
    <w:pPr>
      <w:ind w:left="720"/>
      <w:contextualSpacing/>
    </w:pPr>
  </w:style>
  <w:style w:type="paragraph" w:customStyle="1" w:styleId="Default">
    <w:name w:val="Default"/>
    <w:rsid w:val="00E960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822A0"/>
    <w:pPr>
      <w:spacing w:before="0"/>
      <w:jc w:val="left"/>
    </w:pPr>
    <w:rPr>
      <w:rFonts w:ascii="Calibri" w:eastAsia="Times New Roman" w:hAnsi="Calibri" w:cs="Calibri"/>
      <w:i/>
      <w:iCs/>
      <w:sz w:val="22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822A0"/>
    <w:rPr>
      <w:rFonts w:ascii="Calibri" w:eastAsia="Times New Roman" w:hAnsi="Calibri" w:cs="Calibri"/>
      <w:i/>
      <w:iCs/>
      <w:lang w:eastAsia="pl-PL"/>
    </w:rPr>
  </w:style>
  <w:style w:type="character" w:styleId="Uwydatnienie">
    <w:name w:val="Emphasis"/>
    <w:basedOn w:val="Domylnaczcionkaakapitu"/>
    <w:uiPriority w:val="20"/>
    <w:qFormat/>
    <w:rsid w:val="00B822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148"/>
    <w:pPr>
      <w:spacing w:before="120" w:after="0" w:line="240" w:lineRule="auto"/>
      <w:jc w:val="both"/>
    </w:pPr>
    <w:rPr>
      <w:rFonts w:ascii="Arial" w:hAnsi="Arial"/>
      <w:sz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D05A9F"/>
    <w:pPr>
      <w:numPr>
        <w:numId w:val="2"/>
      </w:numPr>
      <w:ind w:left="284" w:hanging="284"/>
      <w:outlineLvl w:val="2"/>
    </w:pPr>
    <w:rPr>
      <w:rFonts w:eastAsia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05A9F"/>
    <w:rPr>
      <w:rFonts w:ascii="Arial" w:eastAsia="Times New Roman" w:hAnsi="Arial" w:cs="Times New Roman"/>
      <w:b/>
      <w:bCs/>
      <w:sz w:val="24"/>
      <w:szCs w:val="27"/>
      <w:lang w:eastAsia="pl-PL"/>
    </w:rPr>
  </w:style>
  <w:style w:type="numbering" w:customStyle="1" w:styleId="Styl1">
    <w:name w:val="Styl1"/>
    <w:uiPriority w:val="99"/>
    <w:rsid w:val="004A0227"/>
    <w:pPr>
      <w:numPr>
        <w:numId w:val="3"/>
      </w:numPr>
    </w:pPr>
  </w:style>
  <w:style w:type="table" w:styleId="Tabela-Siatka">
    <w:name w:val="Table Grid"/>
    <w:basedOn w:val="Standardowy"/>
    <w:uiPriority w:val="39"/>
    <w:rsid w:val="00A5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4EF5"/>
    <w:pPr>
      <w:ind w:left="720"/>
      <w:contextualSpacing/>
    </w:pPr>
  </w:style>
  <w:style w:type="paragraph" w:customStyle="1" w:styleId="Default">
    <w:name w:val="Default"/>
    <w:rsid w:val="00E960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822A0"/>
    <w:pPr>
      <w:spacing w:before="0"/>
      <w:jc w:val="left"/>
    </w:pPr>
    <w:rPr>
      <w:rFonts w:ascii="Calibri" w:eastAsia="Times New Roman" w:hAnsi="Calibri" w:cs="Calibri"/>
      <w:i/>
      <w:iCs/>
      <w:sz w:val="22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822A0"/>
    <w:rPr>
      <w:rFonts w:ascii="Calibri" w:eastAsia="Times New Roman" w:hAnsi="Calibri" w:cs="Calibri"/>
      <w:i/>
      <w:iCs/>
      <w:lang w:eastAsia="pl-PL"/>
    </w:rPr>
  </w:style>
  <w:style w:type="character" w:styleId="Uwydatnienie">
    <w:name w:val="Emphasis"/>
    <w:basedOn w:val="Domylnaczcionkaakapitu"/>
    <w:uiPriority w:val="20"/>
    <w:qFormat/>
    <w:rsid w:val="00B822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4B9DE-6FDB-42FC-94F1-0AE71CA0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Kozłowski</dc:creator>
  <cp:lastModifiedBy>Judyta Jurzyńska</cp:lastModifiedBy>
  <cp:revision>2</cp:revision>
  <dcterms:created xsi:type="dcterms:W3CDTF">2022-03-04T07:32:00Z</dcterms:created>
  <dcterms:modified xsi:type="dcterms:W3CDTF">2022-03-04T07:32:00Z</dcterms:modified>
</cp:coreProperties>
</file>